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3C" w:rsidRDefault="0006457B" w:rsidP="0006457B">
      <w:pPr>
        <w:pStyle w:val="2"/>
        <w:jc w:val="center"/>
      </w:pPr>
      <w:r w:rsidRPr="0006457B">
        <w:rPr>
          <w:rFonts w:hint="eastAsia"/>
        </w:rPr>
        <w:t>上海戏剧学院华山路校区电气设备试验及电气线路设施检测服务询价要求</w:t>
      </w:r>
    </w:p>
    <w:p w:rsidR="0006457B" w:rsidRDefault="0006457B" w:rsidP="0006457B">
      <w:pPr>
        <w:pStyle w:val="a3"/>
        <w:numPr>
          <w:ilvl w:val="0"/>
          <w:numId w:val="1"/>
        </w:numPr>
        <w:spacing w:line="400" w:lineRule="exact"/>
        <w:ind w:firstLineChars="0"/>
        <w:rPr>
          <w:rFonts w:hint="eastAsia"/>
          <w:sz w:val="28"/>
          <w:szCs w:val="28"/>
        </w:rPr>
      </w:pPr>
      <w:r w:rsidRPr="006C0B8A">
        <w:rPr>
          <w:rFonts w:hint="eastAsia"/>
          <w:sz w:val="28"/>
          <w:szCs w:val="28"/>
        </w:rPr>
        <w:t>电气设备试验</w:t>
      </w:r>
      <w:r>
        <w:rPr>
          <w:rFonts w:hint="eastAsia"/>
          <w:sz w:val="28"/>
          <w:szCs w:val="28"/>
        </w:rPr>
        <w:t>服务内容及要求</w:t>
      </w:r>
    </w:p>
    <w:p w:rsidR="00D50E57" w:rsidRPr="00D50E57" w:rsidRDefault="00D50E57" w:rsidP="00D50E57">
      <w:pPr>
        <w:pStyle w:val="a3"/>
        <w:numPr>
          <w:ilvl w:val="0"/>
          <w:numId w:val="2"/>
        </w:numPr>
        <w:spacing w:line="400" w:lineRule="exact"/>
        <w:ind w:left="567" w:firstLineChars="0" w:hanging="283"/>
        <w:rPr>
          <w:b/>
          <w:sz w:val="28"/>
          <w:szCs w:val="28"/>
        </w:rPr>
      </w:pPr>
      <w:bookmarkStart w:id="0" w:name="_GoBack"/>
      <w:bookmarkEnd w:id="0"/>
      <w:r w:rsidRPr="00D50E57">
        <w:rPr>
          <w:rFonts w:hint="eastAsia"/>
          <w:b/>
          <w:sz w:val="28"/>
          <w:szCs w:val="28"/>
        </w:rPr>
        <w:t>报价单位需具有承装（修、试）电力设施许可证五级及以上。</w:t>
      </w:r>
    </w:p>
    <w:p w:rsidR="0006457B" w:rsidRPr="006C0B8A" w:rsidRDefault="0006457B" w:rsidP="0006457B">
      <w:pPr>
        <w:spacing w:line="400" w:lineRule="exact"/>
        <w:rPr>
          <w:sz w:val="28"/>
          <w:szCs w:val="28"/>
        </w:rPr>
      </w:pPr>
      <w:r>
        <w:rPr>
          <w:rFonts w:hint="eastAsia"/>
          <w:sz w:val="28"/>
          <w:szCs w:val="28"/>
        </w:rPr>
        <w:t>1</w:t>
      </w:r>
      <w:r>
        <w:rPr>
          <w:rFonts w:hint="eastAsia"/>
          <w:sz w:val="28"/>
          <w:szCs w:val="28"/>
        </w:rPr>
        <w:t>、</w:t>
      </w:r>
      <w:r w:rsidRPr="006C0B8A">
        <w:rPr>
          <w:rFonts w:hint="eastAsia"/>
          <w:sz w:val="28"/>
          <w:szCs w:val="28"/>
        </w:rPr>
        <w:t>电气试验设备清单：</w:t>
      </w:r>
    </w:p>
    <w:p w:rsidR="0006457B" w:rsidRPr="00A140E1" w:rsidRDefault="0006457B" w:rsidP="0006457B">
      <w:pPr>
        <w:pStyle w:val="a3"/>
        <w:spacing w:line="400" w:lineRule="exact"/>
        <w:ind w:left="420" w:firstLineChars="0" w:firstLine="0"/>
        <w:rPr>
          <w:sz w:val="28"/>
          <w:szCs w:val="28"/>
        </w:rPr>
      </w:pPr>
    </w:p>
    <w:tbl>
      <w:tblPr>
        <w:tblW w:w="9864" w:type="dxa"/>
        <w:jc w:val="center"/>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1134"/>
        <w:gridCol w:w="1843"/>
        <w:gridCol w:w="1418"/>
        <w:gridCol w:w="2255"/>
        <w:gridCol w:w="850"/>
        <w:gridCol w:w="851"/>
        <w:gridCol w:w="863"/>
      </w:tblGrid>
      <w:tr w:rsidR="002E0CF1" w:rsidRPr="00A140E1" w:rsidTr="002E0CF1">
        <w:trPr>
          <w:trHeight w:val="750"/>
          <w:jc w:val="center"/>
        </w:trPr>
        <w:tc>
          <w:tcPr>
            <w:tcW w:w="650"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序号</w:t>
            </w:r>
          </w:p>
        </w:tc>
        <w:tc>
          <w:tcPr>
            <w:tcW w:w="1134"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变电站</w:t>
            </w:r>
          </w:p>
        </w:tc>
        <w:tc>
          <w:tcPr>
            <w:tcW w:w="1843"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设备名称</w:t>
            </w:r>
          </w:p>
        </w:tc>
        <w:tc>
          <w:tcPr>
            <w:tcW w:w="1418"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生产厂家</w:t>
            </w:r>
          </w:p>
        </w:tc>
        <w:tc>
          <w:tcPr>
            <w:tcW w:w="2255"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型号</w:t>
            </w:r>
          </w:p>
        </w:tc>
        <w:tc>
          <w:tcPr>
            <w:tcW w:w="850" w:type="dxa"/>
            <w:vAlign w:val="center"/>
          </w:tcPr>
          <w:p w:rsidR="00673244" w:rsidRPr="00A140E1" w:rsidRDefault="00673244" w:rsidP="00673244">
            <w:pPr>
              <w:spacing w:line="400" w:lineRule="exact"/>
              <w:jc w:val="center"/>
              <w:rPr>
                <w:rFonts w:asciiTheme="minorEastAsia" w:hAnsiTheme="minorEastAsia"/>
                <w:sz w:val="28"/>
                <w:szCs w:val="28"/>
              </w:rPr>
            </w:pPr>
            <w:r w:rsidRPr="00A140E1">
              <w:rPr>
                <w:rFonts w:asciiTheme="minorEastAsia" w:hAnsiTheme="minorEastAsia" w:hint="eastAsia"/>
                <w:sz w:val="28"/>
                <w:szCs w:val="28"/>
              </w:rPr>
              <w:t>数量</w:t>
            </w:r>
          </w:p>
        </w:tc>
        <w:tc>
          <w:tcPr>
            <w:tcW w:w="851" w:type="dxa"/>
            <w:vAlign w:val="center"/>
          </w:tcPr>
          <w:p w:rsidR="00673244" w:rsidRPr="00A140E1" w:rsidRDefault="002E0CF1" w:rsidP="00673244">
            <w:pPr>
              <w:spacing w:line="400" w:lineRule="exact"/>
              <w:jc w:val="center"/>
              <w:rPr>
                <w:rFonts w:asciiTheme="minorEastAsia" w:hAnsiTheme="minorEastAsia"/>
                <w:sz w:val="28"/>
                <w:szCs w:val="28"/>
              </w:rPr>
            </w:pPr>
            <w:r>
              <w:rPr>
                <w:rFonts w:asciiTheme="minorEastAsia" w:hAnsiTheme="minorEastAsia"/>
                <w:sz w:val="28"/>
                <w:szCs w:val="28"/>
              </w:rPr>
              <w:t>单价</w:t>
            </w:r>
          </w:p>
        </w:tc>
        <w:tc>
          <w:tcPr>
            <w:tcW w:w="863" w:type="dxa"/>
            <w:vAlign w:val="center"/>
          </w:tcPr>
          <w:p w:rsidR="00673244" w:rsidRPr="00A140E1" w:rsidRDefault="002E0CF1" w:rsidP="00673244">
            <w:pPr>
              <w:spacing w:line="400" w:lineRule="exact"/>
              <w:jc w:val="center"/>
              <w:rPr>
                <w:rFonts w:asciiTheme="minorEastAsia" w:hAnsiTheme="minorEastAsia"/>
                <w:sz w:val="28"/>
                <w:szCs w:val="28"/>
              </w:rPr>
            </w:pPr>
            <w:r>
              <w:rPr>
                <w:rFonts w:asciiTheme="minorEastAsia" w:hAnsiTheme="minorEastAsia"/>
                <w:sz w:val="28"/>
                <w:szCs w:val="28"/>
              </w:rPr>
              <w:t>总价</w:t>
            </w:r>
          </w:p>
        </w:tc>
      </w:tr>
      <w:tr w:rsidR="002E0CF1" w:rsidRPr="00A140E1" w:rsidTr="002E0CF1">
        <w:trPr>
          <w:trHeight w:hRule="exact" w:val="567"/>
          <w:jc w:val="center"/>
        </w:trPr>
        <w:tc>
          <w:tcPr>
            <w:tcW w:w="650"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p>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w:t>
            </w:r>
          </w:p>
          <w:p w:rsidR="00673244" w:rsidRPr="00A140E1" w:rsidRDefault="00673244" w:rsidP="00673244">
            <w:pPr>
              <w:spacing w:line="400" w:lineRule="exact"/>
              <w:jc w:val="center"/>
              <w:rPr>
                <w:rFonts w:asciiTheme="minorEastAsia" w:hAnsiTheme="minorEastAsia" w:cs="宋体"/>
                <w:sz w:val="28"/>
                <w:szCs w:val="28"/>
              </w:rPr>
            </w:pPr>
          </w:p>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华山路总站</w:t>
            </w: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电力变压器</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河南许继</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SCB10-1000/10</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高压设备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GGK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10台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低压设备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6台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2</w:t>
            </w:r>
          </w:p>
        </w:tc>
        <w:tc>
          <w:tcPr>
            <w:tcW w:w="1134"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上戏剧场站</w:t>
            </w: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电力变压器</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proofErr w:type="gramStart"/>
            <w:r w:rsidRPr="00A140E1">
              <w:rPr>
                <w:rFonts w:asciiTheme="minorEastAsia" w:hAnsiTheme="minorEastAsia" w:cs="宋体" w:hint="eastAsia"/>
                <w:sz w:val="28"/>
                <w:szCs w:val="28"/>
              </w:rPr>
              <w:t>广东顺特</w:t>
            </w:r>
            <w:proofErr w:type="gramEnd"/>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SCB9-1000/10</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r w:rsidRPr="00A140E1">
              <w:rPr>
                <w:rFonts w:asciiTheme="minorEastAsia" w:hAnsiTheme="minorEastAsia" w:cs="宋体" w:hint="eastAsia"/>
                <w:color w:val="FF0000"/>
                <w:sz w:val="28"/>
                <w:szCs w:val="28"/>
              </w:rPr>
              <w:t>高压设备</w:t>
            </w:r>
          </w:p>
        </w:tc>
        <w:tc>
          <w:tcPr>
            <w:tcW w:w="1418"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r w:rsidRPr="00A140E1">
              <w:rPr>
                <w:rFonts w:asciiTheme="minorEastAsia" w:hAnsiTheme="minorEastAsia" w:cs="宋体" w:hint="eastAsia"/>
                <w:color w:val="FF0000"/>
                <w:sz w:val="28"/>
                <w:szCs w:val="28"/>
              </w:rPr>
              <w:t>新建</w:t>
            </w:r>
          </w:p>
        </w:tc>
        <w:tc>
          <w:tcPr>
            <w:tcW w:w="2255"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p>
        </w:tc>
        <w:tc>
          <w:tcPr>
            <w:tcW w:w="850"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r w:rsidRPr="00A140E1">
              <w:rPr>
                <w:rFonts w:asciiTheme="minorEastAsia" w:hAnsiTheme="minorEastAsia" w:cs="宋体" w:hint="eastAsia"/>
                <w:color w:val="FF0000"/>
                <w:sz w:val="28"/>
                <w:szCs w:val="28"/>
              </w:rPr>
              <w:t>3台</w:t>
            </w:r>
          </w:p>
        </w:tc>
        <w:tc>
          <w:tcPr>
            <w:tcW w:w="851"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color w:val="FF0000"/>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低压设备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6台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联络开关</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3</w:t>
            </w:r>
          </w:p>
        </w:tc>
        <w:tc>
          <w:tcPr>
            <w:tcW w:w="1134"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学生公寓站</w:t>
            </w: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电力变压器</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上海沪光</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SCB9-1000/10</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高压设备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GGK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3台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低压设备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13台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联络开关</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上海华银</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4</w:t>
            </w:r>
          </w:p>
        </w:tc>
        <w:tc>
          <w:tcPr>
            <w:tcW w:w="1134" w:type="dxa"/>
            <w:vMerge w:val="restart"/>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hint="eastAsia"/>
                <w:sz w:val="28"/>
                <w:szCs w:val="28"/>
              </w:rPr>
              <w:t xml:space="preserve">延安西路站 </w:t>
            </w: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电力变压器</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山东达驰</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SCB11-1000/10</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1台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高压设备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上海纳杰</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GGK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3台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2E0CF1" w:rsidRPr="00A140E1" w:rsidTr="002E0CF1">
        <w:trPr>
          <w:trHeight w:hRule="exact" w:val="567"/>
          <w:jc w:val="center"/>
        </w:trPr>
        <w:tc>
          <w:tcPr>
            <w:tcW w:w="650" w:type="dxa"/>
            <w:vMerge/>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1134" w:type="dxa"/>
            <w:vMerge/>
            <w:vAlign w:val="center"/>
          </w:tcPr>
          <w:p w:rsidR="00673244" w:rsidRPr="00A140E1" w:rsidRDefault="00673244" w:rsidP="00673244">
            <w:pPr>
              <w:spacing w:line="400" w:lineRule="exact"/>
              <w:jc w:val="center"/>
              <w:rPr>
                <w:rFonts w:asciiTheme="minorEastAsia" w:hAnsiTheme="minorEastAsia"/>
                <w:sz w:val="28"/>
                <w:szCs w:val="28"/>
              </w:rPr>
            </w:pPr>
          </w:p>
        </w:tc>
        <w:tc>
          <w:tcPr>
            <w:tcW w:w="1843"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低压设备</w:t>
            </w:r>
          </w:p>
        </w:tc>
        <w:tc>
          <w:tcPr>
            <w:tcW w:w="1418"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上海纳杰</w:t>
            </w:r>
          </w:p>
        </w:tc>
        <w:tc>
          <w:tcPr>
            <w:tcW w:w="2255"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GCK</w:t>
            </w:r>
          </w:p>
        </w:tc>
        <w:tc>
          <w:tcPr>
            <w:tcW w:w="850" w:type="dxa"/>
            <w:vAlign w:val="center"/>
          </w:tcPr>
          <w:p w:rsidR="00673244" w:rsidRPr="00A140E1" w:rsidRDefault="00673244" w:rsidP="00673244">
            <w:pPr>
              <w:spacing w:line="400" w:lineRule="exact"/>
              <w:jc w:val="center"/>
              <w:rPr>
                <w:rFonts w:asciiTheme="minorEastAsia" w:hAnsiTheme="minorEastAsia" w:cs="宋体"/>
                <w:sz w:val="28"/>
                <w:szCs w:val="28"/>
              </w:rPr>
            </w:pPr>
            <w:r w:rsidRPr="00A140E1">
              <w:rPr>
                <w:rFonts w:asciiTheme="minorEastAsia" w:hAnsiTheme="minorEastAsia" w:cs="宋体" w:hint="eastAsia"/>
                <w:sz w:val="28"/>
                <w:szCs w:val="28"/>
              </w:rPr>
              <w:t>4台</w:t>
            </w:r>
          </w:p>
        </w:tc>
        <w:tc>
          <w:tcPr>
            <w:tcW w:w="851" w:type="dxa"/>
            <w:vAlign w:val="center"/>
          </w:tcPr>
          <w:p w:rsidR="00673244" w:rsidRPr="00A140E1" w:rsidRDefault="00673244" w:rsidP="00673244">
            <w:pPr>
              <w:spacing w:line="400" w:lineRule="exact"/>
              <w:jc w:val="center"/>
              <w:rPr>
                <w:rFonts w:asciiTheme="minorEastAsia" w:hAnsiTheme="minorEastAsia" w:cs="宋体"/>
                <w:sz w:val="28"/>
                <w:szCs w:val="28"/>
              </w:rPr>
            </w:pPr>
          </w:p>
        </w:tc>
        <w:tc>
          <w:tcPr>
            <w:tcW w:w="863" w:type="dxa"/>
            <w:vAlign w:val="center"/>
          </w:tcPr>
          <w:p w:rsidR="00673244" w:rsidRPr="00A140E1" w:rsidRDefault="00673244" w:rsidP="00673244">
            <w:pPr>
              <w:spacing w:line="400" w:lineRule="exact"/>
              <w:jc w:val="center"/>
              <w:rPr>
                <w:rFonts w:asciiTheme="minorEastAsia" w:hAnsiTheme="minorEastAsia" w:cs="宋体"/>
                <w:sz w:val="28"/>
                <w:szCs w:val="28"/>
              </w:rPr>
            </w:pPr>
          </w:p>
        </w:tc>
      </w:tr>
      <w:tr w:rsidR="00673244" w:rsidTr="002E0CF1">
        <w:trPr>
          <w:trHeight w:val="165"/>
          <w:jc w:val="center"/>
        </w:trPr>
        <w:tc>
          <w:tcPr>
            <w:tcW w:w="5045" w:type="dxa"/>
            <w:gridSpan w:val="4"/>
          </w:tcPr>
          <w:p w:rsidR="00673244" w:rsidRDefault="002E0CF1" w:rsidP="002E0CF1">
            <w:pPr>
              <w:spacing w:line="480" w:lineRule="exact"/>
              <w:jc w:val="center"/>
              <w:rPr>
                <w:sz w:val="28"/>
                <w:szCs w:val="28"/>
              </w:rPr>
            </w:pPr>
            <w:r>
              <w:rPr>
                <w:rFonts w:hint="eastAsia"/>
                <w:sz w:val="28"/>
                <w:szCs w:val="28"/>
              </w:rPr>
              <w:t>合计</w:t>
            </w:r>
          </w:p>
        </w:tc>
        <w:tc>
          <w:tcPr>
            <w:tcW w:w="4819" w:type="dxa"/>
            <w:gridSpan w:val="4"/>
          </w:tcPr>
          <w:p w:rsidR="00673244" w:rsidRDefault="00673244" w:rsidP="00673244">
            <w:pPr>
              <w:spacing w:line="480" w:lineRule="exact"/>
              <w:rPr>
                <w:sz w:val="28"/>
                <w:szCs w:val="28"/>
              </w:rPr>
            </w:pPr>
          </w:p>
        </w:tc>
      </w:tr>
    </w:tbl>
    <w:p w:rsidR="0006457B" w:rsidRPr="00A140E1" w:rsidRDefault="0006457B" w:rsidP="0006457B">
      <w:pPr>
        <w:spacing w:line="480" w:lineRule="exact"/>
        <w:rPr>
          <w:rFonts w:ascii="宋体" w:hAnsi="宋体"/>
          <w:bCs/>
          <w:kern w:val="21"/>
          <w:sz w:val="28"/>
          <w:szCs w:val="28"/>
        </w:rPr>
      </w:pPr>
      <w:r>
        <w:rPr>
          <w:rFonts w:hint="eastAsia"/>
          <w:sz w:val="28"/>
          <w:szCs w:val="28"/>
        </w:rPr>
        <w:t>2</w:t>
      </w:r>
      <w:r w:rsidRPr="00A140E1">
        <w:rPr>
          <w:rFonts w:hint="eastAsia"/>
          <w:sz w:val="28"/>
          <w:szCs w:val="28"/>
        </w:rPr>
        <w:t>、所有试验项目参照上海市电力公司企业标准</w:t>
      </w:r>
      <w:r w:rsidRPr="00A140E1">
        <w:rPr>
          <w:rFonts w:hint="eastAsia"/>
          <w:sz w:val="28"/>
          <w:szCs w:val="28"/>
        </w:rPr>
        <w:t>Q/SDG1011-2004</w:t>
      </w:r>
      <w:r w:rsidRPr="00A140E1">
        <w:rPr>
          <w:rFonts w:hint="eastAsia"/>
          <w:sz w:val="28"/>
          <w:szCs w:val="28"/>
        </w:rPr>
        <w:t>、</w:t>
      </w:r>
      <w:r w:rsidRPr="00A140E1">
        <w:rPr>
          <w:rFonts w:ascii="宋体" w:eastAsia="宋体" w:hAnsi="宋体" w:cs="宋体" w:hint="eastAsia"/>
          <w:bCs/>
          <w:snapToGrid w:val="0"/>
          <w:kern w:val="21"/>
          <w:sz w:val="28"/>
          <w:szCs w:val="28"/>
        </w:rPr>
        <w:t>《电业安全工作规程</w:t>
      </w:r>
      <w:r w:rsidRPr="00A140E1">
        <w:rPr>
          <w:rFonts w:ascii="宋体" w:hAnsi="宋体" w:hint="eastAsia"/>
          <w:bCs/>
          <w:kern w:val="21"/>
          <w:sz w:val="28"/>
          <w:szCs w:val="28"/>
        </w:rPr>
        <w:t>》DL408-91(发电厂和变电所电气部分)、</w:t>
      </w:r>
      <w:r w:rsidRPr="00A140E1">
        <w:rPr>
          <w:rFonts w:ascii="宋体" w:eastAsia="宋体" w:hAnsi="宋体" w:cs="宋体" w:hint="eastAsia"/>
          <w:bCs/>
          <w:snapToGrid w:val="0"/>
          <w:kern w:val="21"/>
          <w:sz w:val="28"/>
          <w:szCs w:val="28"/>
        </w:rPr>
        <w:t>《继电保护</w:t>
      </w:r>
      <w:r w:rsidRPr="00A140E1">
        <w:rPr>
          <w:rFonts w:ascii="宋体" w:eastAsia="宋体" w:hAnsi="宋体" w:cs="宋体" w:hint="eastAsia"/>
          <w:bCs/>
          <w:snapToGrid w:val="0"/>
          <w:kern w:val="21"/>
          <w:sz w:val="28"/>
          <w:szCs w:val="28"/>
        </w:rPr>
        <w:lastRenderedPageBreak/>
        <w:t>和安全自动装置技术规范</w:t>
      </w:r>
      <w:r w:rsidRPr="00A140E1">
        <w:rPr>
          <w:rFonts w:ascii="宋体" w:hAnsi="宋体" w:hint="eastAsia"/>
          <w:bCs/>
          <w:kern w:val="21"/>
          <w:sz w:val="28"/>
          <w:szCs w:val="28"/>
        </w:rPr>
        <w:t>》、</w:t>
      </w:r>
      <w:r w:rsidRPr="00A140E1">
        <w:rPr>
          <w:rFonts w:ascii="宋体" w:eastAsia="宋体" w:hAnsi="宋体" w:cs="宋体" w:hint="eastAsia"/>
          <w:bCs/>
          <w:snapToGrid w:val="0"/>
          <w:kern w:val="21"/>
          <w:sz w:val="28"/>
          <w:szCs w:val="28"/>
        </w:rPr>
        <w:t>《继电保护及电网安全自动装置技术规范</w:t>
      </w:r>
      <w:r w:rsidRPr="00A140E1">
        <w:rPr>
          <w:rFonts w:ascii="宋体" w:hAnsi="宋体" w:hint="eastAsia"/>
          <w:bCs/>
          <w:kern w:val="21"/>
          <w:sz w:val="28"/>
          <w:szCs w:val="28"/>
        </w:rPr>
        <w:t>》、</w:t>
      </w:r>
      <w:r w:rsidRPr="00A140E1">
        <w:rPr>
          <w:rFonts w:ascii="宋体" w:eastAsia="宋体" w:hAnsi="宋体" w:cs="宋体" w:hint="eastAsia"/>
          <w:bCs/>
          <w:snapToGrid w:val="0"/>
          <w:kern w:val="21"/>
          <w:sz w:val="28"/>
          <w:szCs w:val="28"/>
        </w:rPr>
        <w:t>《电气设备预试、检修施工措施</w:t>
      </w:r>
      <w:r w:rsidRPr="00A140E1">
        <w:rPr>
          <w:rFonts w:ascii="宋体" w:hAnsi="宋体" w:hint="eastAsia"/>
          <w:bCs/>
          <w:kern w:val="21"/>
          <w:sz w:val="28"/>
          <w:szCs w:val="28"/>
        </w:rPr>
        <w:t>》；</w:t>
      </w:r>
    </w:p>
    <w:p w:rsidR="0006457B" w:rsidRPr="00A140E1" w:rsidRDefault="0006457B" w:rsidP="0006457B">
      <w:pPr>
        <w:spacing w:line="480" w:lineRule="exact"/>
        <w:rPr>
          <w:rFonts w:ascii="宋体" w:hAnsi="宋体"/>
          <w:bCs/>
          <w:kern w:val="21"/>
          <w:sz w:val="28"/>
          <w:szCs w:val="28"/>
        </w:rPr>
      </w:pPr>
      <w:r>
        <w:rPr>
          <w:rFonts w:ascii="宋体" w:hAnsi="宋体" w:hint="eastAsia"/>
          <w:bCs/>
          <w:kern w:val="21"/>
          <w:sz w:val="28"/>
          <w:szCs w:val="28"/>
        </w:rPr>
        <w:t>3</w:t>
      </w:r>
      <w:r w:rsidRPr="00A140E1">
        <w:rPr>
          <w:rFonts w:ascii="宋体" w:hAnsi="宋体" w:hint="eastAsia"/>
          <w:bCs/>
          <w:kern w:val="21"/>
          <w:sz w:val="28"/>
          <w:szCs w:val="28"/>
        </w:rPr>
        <w:t>、试验周期：按照</w:t>
      </w:r>
      <w:r w:rsidRPr="00A140E1">
        <w:rPr>
          <w:rFonts w:ascii="宋体" w:eastAsia="宋体" w:hAnsi="宋体" w:cs="宋体" w:hint="eastAsia"/>
          <w:bCs/>
          <w:snapToGrid w:val="0"/>
          <w:kern w:val="21"/>
          <w:sz w:val="28"/>
          <w:szCs w:val="28"/>
        </w:rPr>
        <w:t>《电业安全工作规程</w:t>
      </w:r>
      <w:r w:rsidRPr="00A140E1">
        <w:rPr>
          <w:rFonts w:ascii="宋体" w:hAnsi="宋体" w:hint="eastAsia"/>
          <w:bCs/>
          <w:kern w:val="21"/>
          <w:sz w:val="28"/>
          <w:szCs w:val="28"/>
        </w:rPr>
        <w:t>》规定安排电气试验周期</w:t>
      </w:r>
      <w:r>
        <w:rPr>
          <w:rFonts w:ascii="宋体" w:hAnsi="宋体" w:hint="eastAsia"/>
          <w:bCs/>
          <w:kern w:val="21"/>
          <w:sz w:val="28"/>
          <w:szCs w:val="28"/>
        </w:rPr>
        <w:t>，我校选择每两年检测一次</w:t>
      </w:r>
      <w:r w:rsidRPr="00A140E1">
        <w:rPr>
          <w:rFonts w:ascii="宋体" w:hAnsi="宋体" w:hint="eastAsia"/>
          <w:bCs/>
          <w:kern w:val="21"/>
          <w:sz w:val="28"/>
          <w:szCs w:val="28"/>
        </w:rPr>
        <w:t>；</w:t>
      </w:r>
    </w:p>
    <w:p w:rsidR="0006457B" w:rsidRPr="00A140E1" w:rsidRDefault="0006457B" w:rsidP="0006457B">
      <w:pPr>
        <w:spacing w:line="480" w:lineRule="exact"/>
        <w:rPr>
          <w:rFonts w:ascii="宋体" w:hAnsi="宋体"/>
          <w:bCs/>
          <w:kern w:val="21"/>
          <w:sz w:val="28"/>
          <w:szCs w:val="28"/>
        </w:rPr>
      </w:pPr>
      <w:r>
        <w:rPr>
          <w:rFonts w:ascii="宋体" w:hAnsi="宋体" w:hint="eastAsia"/>
          <w:bCs/>
          <w:kern w:val="21"/>
          <w:sz w:val="28"/>
          <w:szCs w:val="28"/>
        </w:rPr>
        <w:t>4</w:t>
      </w:r>
      <w:r w:rsidRPr="00A140E1">
        <w:rPr>
          <w:rFonts w:ascii="宋体" w:hAnsi="宋体" w:hint="eastAsia"/>
          <w:bCs/>
          <w:kern w:val="21"/>
          <w:sz w:val="28"/>
          <w:szCs w:val="28"/>
        </w:rPr>
        <w:t>、实施电气试验的工作人员必须具有专职校验工作上岗证；</w:t>
      </w:r>
    </w:p>
    <w:p w:rsidR="0006457B" w:rsidRPr="00A140E1" w:rsidRDefault="0006457B" w:rsidP="0006457B">
      <w:pPr>
        <w:spacing w:line="480" w:lineRule="exact"/>
        <w:rPr>
          <w:rFonts w:ascii="宋体" w:hAnsi="宋体"/>
          <w:bCs/>
          <w:kern w:val="21"/>
          <w:sz w:val="28"/>
          <w:szCs w:val="28"/>
        </w:rPr>
      </w:pPr>
      <w:r>
        <w:rPr>
          <w:rFonts w:ascii="宋体" w:hAnsi="宋体" w:hint="eastAsia"/>
          <w:bCs/>
          <w:kern w:val="21"/>
          <w:sz w:val="28"/>
          <w:szCs w:val="28"/>
        </w:rPr>
        <w:t>5、在检测过程</w:t>
      </w:r>
      <w:r w:rsidRPr="00A140E1">
        <w:rPr>
          <w:rFonts w:ascii="宋体" w:hAnsi="宋体" w:hint="eastAsia"/>
          <w:bCs/>
          <w:kern w:val="21"/>
          <w:sz w:val="28"/>
          <w:szCs w:val="28"/>
        </w:rPr>
        <w:t>中如检测到有器件损坏，应及时报告业主方，提出调换申请，并经同意后负责更换备件；</w:t>
      </w:r>
    </w:p>
    <w:p w:rsidR="0006457B" w:rsidRPr="00A140E1" w:rsidRDefault="0006457B" w:rsidP="0006457B">
      <w:pPr>
        <w:spacing w:line="480" w:lineRule="exact"/>
        <w:rPr>
          <w:rFonts w:ascii="宋体" w:hAnsi="宋体"/>
          <w:bCs/>
          <w:kern w:val="21"/>
          <w:sz w:val="28"/>
          <w:szCs w:val="28"/>
        </w:rPr>
      </w:pPr>
      <w:r>
        <w:rPr>
          <w:rFonts w:ascii="宋体" w:hAnsi="宋体" w:hint="eastAsia"/>
          <w:bCs/>
          <w:kern w:val="21"/>
          <w:sz w:val="28"/>
          <w:szCs w:val="28"/>
        </w:rPr>
        <w:t>6</w:t>
      </w:r>
      <w:r w:rsidRPr="00A140E1">
        <w:rPr>
          <w:rFonts w:ascii="宋体" w:hAnsi="宋体" w:hint="eastAsia"/>
          <w:bCs/>
          <w:kern w:val="21"/>
          <w:sz w:val="28"/>
          <w:szCs w:val="28"/>
        </w:rPr>
        <w:t>、应向业主方提供三份详细的预防性试验报告，以及必要的分析报告，内容包括设备的运行情况及相关建议等。</w:t>
      </w:r>
    </w:p>
    <w:p w:rsidR="0006457B" w:rsidRDefault="0006457B" w:rsidP="0006457B">
      <w:pPr>
        <w:spacing w:line="480" w:lineRule="exact"/>
        <w:rPr>
          <w:sz w:val="28"/>
          <w:szCs w:val="28"/>
        </w:rPr>
      </w:pPr>
    </w:p>
    <w:p w:rsidR="0006457B" w:rsidRPr="006C0B8A" w:rsidRDefault="0006457B" w:rsidP="0006457B">
      <w:pPr>
        <w:pStyle w:val="a3"/>
        <w:numPr>
          <w:ilvl w:val="0"/>
          <w:numId w:val="1"/>
        </w:numPr>
        <w:spacing w:line="480" w:lineRule="exact"/>
        <w:ind w:firstLineChars="0"/>
        <w:rPr>
          <w:sz w:val="28"/>
          <w:szCs w:val="28"/>
        </w:rPr>
      </w:pPr>
      <w:r w:rsidRPr="006C0B8A">
        <w:rPr>
          <w:rFonts w:hint="eastAsia"/>
          <w:sz w:val="28"/>
          <w:szCs w:val="28"/>
        </w:rPr>
        <w:t>电气线路检测服务内容及要求</w:t>
      </w:r>
    </w:p>
    <w:p w:rsidR="0006457B" w:rsidRPr="006C0B8A" w:rsidRDefault="0006457B" w:rsidP="0006457B">
      <w:pPr>
        <w:spacing w:line="480" w:lineRule="exact"/>
        <w:rPr>
          <w:sz w:val="28"/>
          <w:szCs w:val="28"/>
        </w:rPr>
      </w:pPr>
      <w:r>
        <w:rPr>
          <w:rFonts w:hint="eastAsia"/>
          <w:sz w:val="28"/>
          <w:szCs w:val="28"/>
        </w:rPr>
        <w:t>1</w:t>
      </w:r>
      <w:r>
        <w:rPr>
          <w:rFonts w:hint="eastAsia"/>
          <w:sz w:val="28"/>
          <w:szCs w:val="28"/>
        </w:rPr>
        <w:t>、</w:t>
      </w:r>
      <w:r w:rsidRPr="006C0B8A">
        <w:rPr>
          <w:rFonts w:hint="eastAsia"/>
          <w:sz w:val="28"/>
          <w:szCs w:val="28"/>
        </w:rPr>
        <w:t>服务范围：对上海戏剧学院华山路校区所有电气线路，如变配电装置、配电线路、配电箱（板）、电气照明装置，电气动力设施等进行检测；</w:t>
      </w:r>
    </w:p>
    <w:p w:rsidR="0006457B" w:rsidRPr="006C0B8A" w:rsidRDefault="0006457B" w:rsidP="0006457B">
      <w:pPr>
        <w:spacing w:line="480" w:lineRule="exact"/>
        <w:rPr>
          <w:color w:val="000000"/>
          <w:spacing w:val="6"/>
          <w:sz w:val="28"/>
          <w:szCs w:val="28"/>
        </w:rPr>
      </w:pPr>
      <w:r>
        <w:rPr>
          <w:rFonts w:hint="eastAsia"/>
          <w:sz w:val="28"/>
          <w:szCs w:val="28"/>
        </w:rPr>
        <w:t>2</w:t>
      </w:r>
      <w:r>
        <w:rPr>
          <w:rFonts w:hint="eastAsia"/>
          <w:sz w:val="28"/>
          <w:szCs w:val="28"/>
        </w:rPr>
        <w:t>、</w:t>
      </w:r>
      <w:r w:rsidRPr="006C0B8A">
        <w:rPr>
          <w:rFonts w:hint="eastAsia"/>
          <w:sz w:val="28"/>
          <w:szCs w:val="28"/>
        </w:rPr>
        <w:t>检测周期：每季度出具检测，并出具检测报告；</w:t>
      </w:r>
    </w:p>
    <w:p w:rsidR="0006457B" w:rsidRDefault="0006457B" w:rsidP="0006457B">
      <w:pPr>
        <w:spacing w:line="480" w:lineRule="exact"/>
        <w:rPr>
          <w:color w:val="000000"/>
          <w:spacing w:val="-12"/>
          <w:sz w:val="28"/>
          <w:szCs w:val="28"/>
        </w:rPr>
      </w:pPr>
      <w:r>
        <w:rPr>
          <w:rFonts w:hint="eastAsia"/>
          <w:sz w:val="28"/>
          <w:szCs w:val="28"/>
        </w:rPr>
        <w:t>3</w:t>
      </w:r>
      <w:r>
        <w:rPr>
          <w:rFonts w:hint="eastAsia"/>
          <w:sz w:val="28"/>
          <w:szCs w:val="28"/>
        </w:rPr>
        <w:t>、</w:t>
      </w:r>
      <w:r w:rsidRPr="006C0B8A">
        <w:rPr>
          <w:rFonts w:hint="eastAsia"/>
          <w:sz w:val="28"/>
          <w:szCs w:val="28"/>
        </w:rPr>
        <w:t>检测依据</w:t>
      </w:r>
      <w:r w:rsidRPr="006C0B8A">
        <w:rPr>
          <w:rFonts w:ascii="Times New Roman" w:hAnsi="Times New Roman" w:cs="Times New Roman"/>
          <w:color w:val="000000"/>
          <w:spacing w:val="-2"/>
          <w:sz w:val="28"/>
          <w:szCs w:val="28"/>
        </w:rPr>
        <w:t>GB50054</w:t>
      </w:r>
      <w:r w:rsidRPr="006C0B8A">
        <w:rPr>
          <w:rFonts w:hint="eastAsia"/>
          <w:color w:val="000000"/>
          <w:sz w:val="28"/>
          <w:szCs w:val="28"/>
        </w:rPr>
        <w:t>—</w:t>
      </w:r>
      <w:r w:rsidRPr="006C0B8A">
        <w:rPr>
          <w:rFonts w:ascii="Times New Roman" w:hAnsi="Times New Roman" w:cs="Times New Roman"/>
          <w:color w:val="000000"/>
          <w:sz w:val="28"/>
          <w:szCs w:val="28"/>
        </w:rPr>
        <w:t>95</w:t>
      </w:r>
      <w:r w:rsidRPr="006C0B8A">
        <w:rPr>
          <w:rFonts w:hint="eastAsia"/>
          <w:color w:val="000000"/>
          <w:spacing w:val="-12"/>
          <w:sz w:val="28"/>
          <w:szCs w:val="28"/>
        </w:rPr>
        <w:t>《低压配电设计规范》</w:t>
      </w:r>
      <w:r w:rsidRPr="006C0B8A">
        <w:rPr>
          <w:rFonts w:hint="eastAsia"/>
          <w:color w:val="000000"/>
          <w:sz w:val="28"/>
          <w:szCs w:val="28"/>
        </w:rPr>
        <w:t>、</w:t>
      </w:r>
      <w:r w:rsidRPr="006C0B8A">
        <w:rPr>
          <w:rFonts w:ascii="Times New Roman" w:hAnsi="Times New Roman" w:cs="Times New Roman"/>
          <w:color w:val="000000"/>
          <w:spacing w:val="-6"/>
          <w:sz w:val="28"/>
          <w:szCs w:val="28"/>
        </w:rPr>
        <w:t>GB50171</w:t>
      </w:r>
      <w:r w:rsidRPr="006C0B8A">
        <w:rPr>
          <w:rFonts w:hint="eastAsia"/>
          <w:color w:val="000000"/>
          <w:sz w:val="28"/>
          <w:szCs w:val="28"/>
        </w:rPr>
        <w:t>—</w:t>
      </w:r>
      <w:r w:rsidRPr="006C0B8A">
        <w:rPr>
          <w:rFonts w:ascii="Times New Roman" w:hAnsi="Times New Roman" w:cs="Times New Roman"/>
          <w:color w:val="000000"/>
          <w:sz w:val="28"/>
          <w:szCs w:val="28"/>
        </w:rPr>
        <w:t>92</w:t>
      </w:r>
      <w:r w:rsidRPr="006C0B8A">
        <w:rPr>
          <w:rFonts w:hint="eastAsia"/>
          <w:color w:val="000000"/>
          <w:spacing w:val="-20"/>
          <w:sz w:val="28"/>
          <w:szCs w:val="28"/>
        </w:rPr>
        <w:t>《电气装置安装工程盘、柜及二次回路结</w:t>
      </w:r>
      <w:r w:rsidRPr="006C0B8A">
        <w:rPr>
          <w:rFonts w:hint="eastAsia"/>
          <w:color w:val="000000"/>
          <w:spacing w:val="-10"/>
          <w:sz w:val="28"/>
          <w:szCs w:val="28"/>
        </w:rPr>
        <w:t>线施工及验收规范》</w:t>
      </w:r>
      <w:r w:rsidRPr="006C0B8A">
        <w:rPr>
          <w:rFonts w:hint="eastAsia"/>
          <w:color w:val="000000"/>
          <w:sz w:val="28"/>
          <w:szCs w:val="28"/>
        </w:rPr>
        <w:t>、</w:t>
      </w:r>
      <w:r w:rsidRPr="006C0B8A">
        <w:rPr>
          <w:rFonts w:ascii="Times New Roman" w:hAnsi="Times New Roman" w:cs="Times New Roman"/>
          <w:color w:val="000000"/>
          <w:spacing w:val="-6"/>
          <w:sz w:val="28"/>
          <w:szCs w:val="28"/>
        </w:rPr>
        <w:t>GB50169</w:t>
      </w:r>
      <w:r w:rsidRPr="006C0B8A">
        <w:rPr>
          <w:rFonts w:hint="eastAsia"/>
          <w:color w:val="000000"/>
          <w:sz w:val="28"/>
          <w:szCs w:val="28"/>
        </w:rPr>
        <w:t>—</w:t>
      </w:r>
      <w:r w:rsidRPr="006C0B8A">
        <w:rPr>
          <w:rFonts w:ascii="Times New Roman" w:hAnsi="Times New Roman" w:cs="Times New Roman"/>
          <w:color w:val="000000"/>
          <w:sz w:val="28"/>
          <w:szCs w:val="28"/>
        </w:rPr>
        <w:t>92</w:t>
      </w:r>
      <w:r w:rsidRPr="006C0B8A">
        <w:rPr>
          <w:rFonts w:hint="eastAsia"/>
          <w:color w:val="000000"/>
          <w:spacing w:val="-12"/>
          <w:sz w:val="28"/>
          <w:szCs w:val="28"/>
        </w:rPr>
        <w:t>《电气装置安装工程接地装置施工及验收规范》</w:t>
      </w:r>
      <w:r w:rsidRPr="006C0B8A">
        <w:rPr>
          <w:rFonts w:hint="eastAsia"/>
          <w:color w:val="000000"/>
          <w:sz w:val="28"/>
          <w:szCs w:val="28"/>
        </w:rPr>
        <w:t>、</w:t>
      </w:r>
      <w:r w:rsidRPr="006C0B8A">
        <w:rPr>
          <w:rFonts w:ascii="Times New Roman" w:hAnsi="Times New Roman" w:cs="Times New Roman"/>
          <w:color w:val="000000"/>
          <w:spacing w:val="-6"/>
          <w:sz w:val="28"/>
          <w:szCs w:val="28"/>
        </w:rPr>
        <w:t>GB50254</w:t>
      </w:r>
      <w:r w:rsidRPr="006C0B8A">
        <w:rPr>
          <w:rFonts w:hint="eastAsia"/>
          <w:color w:val="000000"/>
          <w:sz w:val="28"/>
          <w:szCs w:val="28"/>
        </w:rPr>
        <w:t>—</w:t>
      </w:r>
      <w:r w:rsidRPr="006C0B8A">
        <w:rPr>
          <w:rFonts w:ascii="Times New Roman" w:hAnsi="Times New Roman" w:cs="Times New Roman"/>
          <w:color w:val="000000"/>
          <w:sz w:val="28"/>
          <w:szCs w:val="28"/>
        </w:rPr>
        <w:t>96</w:t>
      </w:r>
      <w:r w:rsidRPr="006C0B8A">
        <w:rPr>
          <w:rFonts w:hint="eastAsia"/>
          <w:color w:val="000000"/>
          <w:spacing w:val="-12"/>
          <w:sz w:val="28"/>
          <w:szCs w:val="28"/>
        </w:rPr>
        <w:t>《电气装置安装工程低压电器施工及验收规范》</w:t>
      </w:r>
      <w:r w:rsidRPr="006C0B8A">
        <w:rPr>
          <w:rFonts w:hint="eastAsia"/>
          <w:color w:val="000000"/>
          <w:sz w:val="28"/>
          <w:szCs w:val="28"/>
        </w:rPr>
        <w:t>、</w:t>
      </w:r>
      <w:r w:rsidRPr="006C0B8A">
        <w:rPr>
          <w:rFonts w:ascii="Times New Roman" w:hAnsi="Times New Roman" w:cs="Times New Roman"/>
          <w:color w:val="000000"/>
          <w:spacing w:val="-6"/>
          <w:sz w:val="28"/>
          <w:szCs w:val="28"/>
        </w:rPr>
        <w:t>GB50303-2002</w:t>
      </w:r>
      <w:r w:rsidRPr="006C0B8A">
        <w:rPr>
          <w:rFonts w:hint="eastAsia"/>
          <w:color w:val="000000"/>
          <w:spacing w:val="-13"/>
          <w:sz w:val="28"/>
          <w:szCs w:val="28"/>
        </w:rPr>
        <w:t>《建筑电气工程施工质量验收</w:t>
      </w:r>
      <w:r w:rsidRPr="006C0B8A">
        <w:rPr>
          <w:rFonts w:hint="eastAsia"/>
          <w:color w:val="000000"/>
          <w:spacing w:val="12"/>
          <w:sz w:val="28"/>
          <w:szCs w:val="28"/>
        </w:rPr>
        <w:t>规范》</w:t>
      </w:r>
      <w:r w:rsidRPr="006C0B8A">
        <w:rPr>
          <w:rFonts w:hint="eastAsia"/>
          <w:color w:val="000000"/>
          <w:sz w:val="28"/>
          <w:szCs w:val="28"/>
        </w:rPr>
        <w:t>、</w:t>
      </w:r>
      <w:r w:rsidRPr="006C0B8A">
        <w:rPr>
          <w:rFonts w:ascii="Times New Roman" w:hAnsi="Times New Roman" w:cs="Times New Roman"/>
          <w:color w:val="000000"/>
          <w:spacing w:val="-6"/>
          <w:sz w:val="28"/>
          <w:szCs w:val="28"/>
        </w:rPr>
        <w:t>GB50168</w:t>
      </w:r>
      <w:r w:rsidRPr="006C0B8A">
        <w:rPr>
          <w:rFonts w:hint="eastAsia"/>
          <w:color w:val="000000"/>
          <w:sz w:val="28"/>
          <w:szCs w:val="28"/>
        </w:rPr>
        <w:t>—</w:t>
      </w:r>
      <w:r w:rsidRPr="006C0B8A">
        <w:rPr>
          <w:rFonts w:ascii="Times New Roman" w:hAnsi="Times New Roman" w:cs="Times New Roman"/>
          <w:color w:val="000000"/>
          <w:spacing w:val="-27"/>
          <w:sz w:val="28"/>
          <w:szCs w:val="28"/>
        </w:rPr>
        <w:t>92</w:t>
      </w:r>
      <w:r w:rsidRPr="006C0B8A">
        <w:rPr>
          <w:rFonts w:hint="eastAsia"/>
          <w:color w:val="000000"/>
          <w:spacing w:val="5"/>
          <w:sz w:val="28"/>
          <w:szCs w:val="28"/>
        </w:rPr>
        <w:t>《电气装置安装工程电缆线路施工及验收规范》</w:t>
      </w:r>
      <w:r w:rsidRPr="006C0B8A">
        <w:rPr>
          <w:rFonts w:hint="eastAsia"/>
          <w:color w:val="000000"/>
          <w:sz w:val="28"/>
          <w:szCs w:val="28"/>
        </w:rPr>
        <w:t>、</w:t>
      </w:r>
      <w:r w:rsidRPr="006C0B8A">
        <w:rPr>
          <w:rFonts w:ascii="Times New Roman" w:hAnsi="Times New Roman" w:cs="Times New Roman"/>
          <w:color w:val="000000"/>
          <w:spacing w:val="-6"/>
          <w:sz w:val="28"/>
          <w:szCs w:val="28"/>
        </w:rPr>
        <w:t>JGJ/T16</w:t>
      </w:r>
      <w:r w:rsidRPr="006C0B8A">
        <w:rPr>
          <w:rFonts w:hint="eastAsia"/>
          <w:color w:val="000000"/>
          <w:sz w:val="28"/>
          <w:szCs w:val="28"/>
        </w:rPr>
        <w:t>—</w:t>
      </w:r>
      <w:r w:rsidRPr="006C0B8A">
        <w:rPr>
          <w:rFonts w:ascii="Times New Roman" w:hAnsi="Times New Roman" w:cs="Times New Roman"/>
          <w:color w:val="000000"/>
          <w:sz w:val="28"/>
          <w:szCs w:val="28"/>
        </w:rPr>
        <w:t>92</w:t>
      </w:r>
      <w:r w:rsidRPr="006C0B8A">
        <w:rPr>
          <w:rFonts w:hint="eastAsia"/>
          <w:color w:val="000000"/>
          <w:spacing w:val="6"/>
          <w:sz w:val="28"/>
          <w:szCs w:val="28"/>
        </w:rPr>
        <w:t>《民用建筑</w:t>
      </w:r>
      <w:r w:rsidRPr="006C0B8A">
        <w:rPr>
          <w:rFonts w:hint="eastAsia"/>
          <w:color w:val="000000"/>
          <w:spacing w:val="-12"/>
          <w:sz w:val="28"/>
          <w:szCs w:val="28"/>
        </w:rPr>
        <w:t>电气设计规范》</w:t>
      </w:r>
      <w:r>
        <w:rPr>
          <w:rFonts w:hint="eastAsia"/>
          <w:color w:val="000000"/>
          <w:spacing w:val="-12"/>
          <w:sz w:val="28"/>
          <w:szCs w:val="28"/>
        </w:rPr>
        <w:t>等国家现行的技术规范，消防安全法规</w:t>
      </w:r>
      <w:proofErr w:type="gramStart"/>
      <w:r>
        <w:rPr>
          <w:rFonts w:hint="eastAsia"/>
          <w:color w:val="000000"/>
          <w:spacing w:val="-12"/>
          <w:sz w:val="28"/>
          <w:szCs w:val="28"/>
        </w:rPr>
        <w:t>及委检</w:t>
      </w:r>
      <w:proofErr w:type="gramEnd"/>
      <w:r>
        <w:rPr>
          <w:rFonts w:hint="eastAsia"/>
          <w:color w:val="000000"/>
          <w:spacing w:val="-12"/>
          <w:sz w:val="28"/>
          <w:szCs w:val="28"/>
        </w:rPr>
        <w:t>单位提供的设计图纸资料；</w:t>
      </w:r>
    </w:p>
    <w:p w:rsidR="0006457B" w:rsidRPr="006C0B8A" w:rsidRDefault="0006457B" w:rsidP="0006457B">
      <w:pPr>
        <w:spacing w:line="480" w:lineRule="exact"/>
        <w:rPr>
          <w:color w:val="000000"/>
          <w:spacing w:val="6"/>
          <w:sz w:val="28"/>
          <w:szCs w:val="28"/>
        </w:rPr>
      </w:pPr>
      <w:r>
        <w:rPr>
          <w:rFonts w:hint="eastAsia"/>
          <w:color w:val="000000"/>
          <w:spacing w:val="-12"/>
          <w:sz w:val="28"/>
          <w:szCs w:val="28"/>
        </w:rPr>
        <w:t>4</w:t>
      </w:r>
      <w:r>
        <w:rPr>
          <w:rFonts w:hint="eastAsia"/>
          <w:color w:val="000000"/>
          <w:spacing w:val="-12"/>
          <w:sz w:val="28"/>
          <w:szCs w:val="28"/>
        </w:rPr>
        <w:t>、</w:t>
      </w:r>
      <w:r>
        <w:rPr>
          <w:rFonts w:ascii="宋体" w:hAnsi="宋体" w:hint="eastAsia"/>
          <w:bCs/>
          <w:kern w:val="21"/>
          <w:sz w:val="28"/>
          <w:szCs w:val="28"/>
        </w:rPr>
        <w:t>实施电气线路检测</w:t>
      </w:r>
      <w:r w:rsidRPr="00A140E1">
        <w:rPr>
          <w:rFonts w:ascii="宋体" w:hAnsi="宋体" w:hint="eastAsia"/>
          <w:bCs/>
          <w:kern w:val="21"/>
          <w:sz w:val="28"/>
          <w:szCs w:val="28"/>
        </w:rPr>
        <w:t>的工作人员必须具有专职校验工作上岗证</w:t>
      </w:r>
      <w:r>
        <w:rPr>
          <w:rFonts w:ascii="宋体" w:hAnsi="宋体" w:hint="eastAsia"/>
          <w:bCs/>
          <w:kern w:val="21"/>
          <w:sz w:val="28"/>
          <w:szCs w:val="28"/>
        </w:rPr>
        <w:t>；</w:t>
      </w:r>
    </w:p>
    <w:p w:rsidR="0006457B" w:rsidRPr="006C0B8A" w:rsidRDefault="00673244" w:rsidP="0006457B">
      <w:pPr>
        <w:spacing w:line="480" w:lineRule="exact"/>
        <w:rPr>
          <w:color w:val="000000"/>
          <w:spacing w:val="6"/>
          <w:sz w:val="28"/>
          <w:szCs w:val="28"/>
        </w:rPr>
      </w:pPr>
      <w:r>
        <w:rPr>
          <w:rFonts w:hint="eastAsia"/>
          <w:sz w:val="28"/>
          <w:szCs w:val="28"/>
        </w:rPr>
        <w:t>5</w:t>
      </w:r>
      <w:r w:rsidR="0006457B">
        <w:rPr>
          <w:rFonts w:hint="eastAsia"/>
          <w:sz w:val="28"/>
          <w:szCs w:val="28"/>
        </w:rPr>
        <w:t>、</w:t>
      </w:r>
      <w:r w:rsidR="0006457B" w:rsidRPr="006C0B8A">
        <w:rPr>
          <w:rFonts w:hint="eastAsia"/>
          <w:sz w:val="28"/>
          <w:szCs w:val="28"/>
        </w:rPr>
        <w:t>在检测过程中如有线路及器件损坏，应及时报告业主方，提出维修申请，并经同意后负责维修。</w:t>
      </w:r>
    </w:p>
    <w:p w:rsidR="0006457B" w:rsidRPr="00A140E1" w:rsidRDefault="0006457B" w:rsidP="0006457B">
      <w:pPr>
        <w:spacing w:line="400" w:lineRule="exact"/>
        <w:rPr>
          <w:sz w:val="28"/>
          <w:szCs w:val="28"/>
        </w:rPr>
      </w:pPr>
    </w:p>
    <w:p w:rsidR="0006457B" w:rsidRDefault="0006457B" w:rsidP="0006457B">
      <w:pPr>
        <w:spacing w:line="400" w:lineRule="exact"/>
        <w:rPr>
          <w:sz w:val="28"/>
          <w:szCs w:val="28"/>
        </w:rPr>
      </w:pPr>
      <w:r>
        <w:rPr>
          <w:rFonts w:hint="eastAsia"/>
          <w:sz w:val="28"/>
          <w:szCs w:val="28"/>
        </w:rPr>
        <w:t>三、以上所有服务价格请标明明细，每年根据不同</w:t>
      </w:r>
      <w:r w:rsidR="00673244">
        <w:rPr>
          <w:rFonts w:hint="eastAsia"/>
          <w:sz w:val="28"/>
          <w:szCs w:val="28"/>
        </w:rPr>
        <w:t>测试项目及次数，按实结算</w:t>
      </w:r>
      <w:r>
        <w:rPr>
          <w:rFonts w:hint="eastAsia"/>
          <w:sz w:val="28"/>
          <w:szCs w:val="28"/>
        </w:rPr>
        <w:t>。</w:t>
      </w:r>
    </w:p>
    <w:p w:rsidR="0006457B" w:rsidRPr="0006457B" w:rsidRDefault="0006457B" w:rsidP="0006457B"/>
    <w:sectPr w:rsidR="0006457B" w:rsidRPr="00064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6651"/>
    <w:multiLevelType w:val="hybridMultilevel"/>
    <w:tmpl w:val="BEB6EF18"/>
    <w:lvl w:ilvl="0" w:tplc="BCBE42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A64CC2"/>
    <w:multiLevelType w:val="hybridMultilevel"/>
    <w:tmpl w:val="8B26AFA2"/>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72"/>
    <w:rsid w:val="0006457B"/>
    <w:rsid w:val="001C423C"/>
    <w:rsid w:val="002E0CF1"/>
    <w:rsid w:val="00616E72"/>
    <w:rsid w:val="00673244"/>
    <w:rsid w:val="00D50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06457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457B"/>
    <w:rPr>
      <w:rFonts w:asciiTheme="majorHAnsi" w:eastAsiaTheme="majorEastAsia" w:hAnsiTheme="majorHAnsi" w:cstheme="majorBidi"/>
      <w:b/>
      <w:bCs/>
      <w:sz w:val="32"/>
      <w:szCs w:val="32"/>
    </w:rPr>
  </w:style>
  <w:style w:type="paragraph" w:styleId="a3">
    <w:name w:val="List Paragraph"/>
    <w:basedOn w:val="a"/>
    <w:uiPriority w:val="34"/>
    <w:qFormat/>
    <w:rsid w:val="000645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06457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457B"/>
    <w:rPr>
      <w:rFonts w:asciiTheme="majorHAnsi" w:eastAsiaTheme="majorEastAsia" w:hAnsiTheme="majorHAnsi" w:cstheme="majorBidi"/>
      <w:b/>
      <w:bCs/>
      <w:sz w:val="32"/>
      <w:szCs w:val="32"/>
    </w:rPr>
  </w:style>
  <w:style w:type="paragraph" w:styleId="a3">
    <w:name w:val="List Paragraph"/>
    <w:basedOn w:val="a"/>
    <w:uiPriority w:val="34"/>
    <w:qFormat/>
    <w:rsid w:val="000645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STA-FM</dc:creator>
  <cp:keywords/>
  <dc:description/>
  <cp:lastModifiedBy>STA-FM</cp:lastModifiedBy>
  <cp:revision>5</cp:revision>
  <dcterms:created xsi:type="dcterms:W3CDTF">2017-06-29T05:49:00Z</dcterms:created>
  <dcterms:modified xsi:type="dcterms:W3CDTF">2017-07-04T04:40:00Z</dcterms:modified>
</cp:coreProperties>
</file>